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r w:rsidRPr="00223E28">
        <w:rPr>
          <w:rFonts w:ascii="Arial" w:hAnsi="Arial" w:cs="Arial"/>
          <w:strike/>
          <w:sz w:val="19"/>
          <w:szCs w:val="19"/>
        </w:rPr>
        <w:t>Stadt-, Markt-</w:t>
      </w:r>
      <w:bookmarkEnd w:id="0"/>
      <w:r>
        <w:rPr>
          <w:rFonts w:ascii="Arial" w:hAnsi="Arial" w:cs="Arial"/>
          <w:sz w:val="19"/>
          <w:szCs w:val="19"/>
        </w:rPr>
        <w:t>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Pr="00DC18ED" w:rsidRDefault="00DC18ED">
      <w:pPr>
        <w:jc w:val="both"/>
        <w:rPr>
          <w:rFonts w:ascii="Arial" w:hAnsi="Arial" w:cs="Arial"/>
          <w:b/>
          <w:sz w:val="19"/>
          <w:szCs w:val="19"/>
        </w:rPr>
      </w:pPr>
      <w:r w:rsidRPr="00DC18ED">
        <w:rPr>
          <w:rFonts w:ascii="Arial" w:hAnsi="Arial" w:cs="Arial"/>
          <w:b/>
          <w:sz w:val="19"/>
          <w:szCs w:val="19"/>
        </w:rPr>
        <w:t>4911 TUMELTSHAM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23E28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AF6DE1"/>
    <w:rsid w:val="00BA1C54"/>
    <w:rsid w:val="00BE151E"/>
    <w:rsid w:val="00C02D54"/>
    <w:rsid w:val="00C42EE7"/>
    <w:rsid w:val="00C711D9"/>
    <w:rsid w:val="00D8446C"/>
    <w:rsid w:val="00DC0BDB"/>
    <w:rsid w:val="00DC18ED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C0F90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Belinda Spitzlinger</cp:lastModifiedBy>
  <cp:revision>4</cp:revision>
  <cp:lastPrinted>2002-02-01T07:17:00Z</cp:lastPrinted>
  <dcterms:created xsi:type="dcterms:W3CDTF">2021-11-03T08:30:00Z</dcterms:created>
  <dcterms:modified xsi:type="dcterms:W3CDTF">2022-01-07T08:49:00Z</dcterms:modified>
</cp:coreProperties>
</file>